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jc w:val="center"/>
        <w:rPr>
          <w:rFonts w:hint="eastAsia" w:ascii="方正小标宋简体" w:hAnsi="方正小标宋简体" w:eastAsia="方正小标宋简体" w:cs="方正小标宋简体"/>
          <w:color w:val="FF0000"/>
          <w:w w:val="85"/>
          <w:sz w:val="72"/>
          <w:szCs w:val="72"/>
          <w:lang w:eastAsia="zh-CN"/>
        </w:rPr>
      </w:pPr>
      <w:r>
        <w:rPr>
          <w:rFonts w:hint="eastAsia" w:ascii="方正小标宋简体" w:hAnsi="方正小标宋简体" w:eastAsia="方正小标宋简体" w:cs="方正小标宋简体"/>
          <w:color w:val="FF0000"/>
          <w:w w:val="85"/>
          <w:sz w:val="72"/>
          <w:szCs w:val="72"/>
          <w:lang w:eastAsia="zh-CN"/>
        </w:rPr>
        <w:t>佛山市南海区高新技术产业协会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Style w:val="3"/>
          <w:rFonts w:hint="eastAsia" w:ascii="方正小标宋简体" w:hAnsi="方正小标宋简体" w:eastAsia="方正小标宋简体" w:cs="方正小标宋简体"/>
          <w:i w:val="0"/>
          <w:caps w:val="0"/>
          <w:color w:val="333335"/>
          <w:spacing w:val="0"/>
          <w:sz w:val="52"/>
          <w:szCs w:val="52"/>
          <w:shd w:val="clear" w:fill="FFFFFF"/>
        </w:rPr>
      </w:pPr>
      <w:bookmarkStart w:id="0" w:name="_GoBack"/>
      <w:r>
        <w:rPr>
          <w:rFonts w:hint="eastAsia" w:ascii="方正小标宋简体" w:hAnsi="方正小标宋简体" w:eastAsia="方正小标宋简体" w:cs="方正小标宋简体"/>
          <w:sz w:val="44"/>
          <w:szCs w:val="44"/>
        </w:rPr>
        <mc:AlternateContent>
          <mc:Choice Requires="wps">
            <w:drawing>
              <wp:anchor distT="0" distB="0" distL="114300" distR="114300" simplePos="0" relativeHeight="251658240" behindDoc="0" locked="0" layoutInCell="1" allowOverlap="1">
                <wp:simplePos x="0" y="0"/>
                <wp:positionH relativeFrom="column">
                  <wp:posOffset>59055</wp:posOffset>
                </wp:positionH>
                <wp:positionV relativeFrom="paragraph">
                  <wp:posOffset>5080</wp:posOffset>
                </wp:positionV>
                <wp:extent cx="5409565" cy="635"/>
                <wp:effectExtent l="0" t="31750" r="635" b="43815"/>
                <wp:wrapNone/>
                <wp:docPr id="3" name="直线 2"/>
                <wp:cNvGraphicFramePr/>
                <a:graphic xmlns:a="http://schemas.openxmlformats.org/drawingml/2006/main">
                  <a:graphicData uri="http://schemas.microsoft.com/office/word/2010/wordprocessingShape">
                    <wps:wsp>
                      <wps:cNvCnPr/>
                      <wps:spPr>
                        <a:xfrm>
                          <a:off x="0" y="0"/>
                          <a:ext cx="5409565" cy="635"/>
                        </a:xfrm>
                        <a:prstGeom prst="line">
                          <a:avLst/>
                        </a:prstGeom>
                        <a:ln w="63500" cap="flat" cmpd="thickThin">
                          <a:solidFill>
                            <a:srgbClr val="FF0000"/>
                          </a:solidFill>
                          <a:prstDash val="solid"/>
                          <a:headEnd type="none" w="med" len="med"/>
                          <a:tailEnd type="none" w="med" len="med"/>
                        </a:ln>
                      </wps:spPr>
                      <wps:bodyPr upright="1"/>
                    </wps:wsp>
                  </a:graphicData>
                </a:graphic>
              </wp:anchor>
            </w:drawing>
          </mc:Choice>
          <mc:Fallback>
            <w:pict>
              <v:line id="直线 2" o:spid="_x0000_s1026" o:spt="20" style="position:absolute;left:0pt;margin-left:4.65pt;margin-top:0.4pt;height:0.05pt;width:425.95pt;z-index:251658240;mso-width-relative:page;mso-height-relative:page;" filled="f" stroked="t" coordsize="21600,21600" o:gfxdata="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dfsWTPAAAAAwEAAA8AAAAAAAAAAQAgAAAAIgAAAGRy&#10;cy9kb3ducmV2LnhtbFBLAQIUABQAAAAIAIdO4kAa+djU1QEAAJYDAAAOAAAAAAAAAAEAIAAAAB4B&#10;AABkcnMvZTJvRG9jLnhtbFBLBQYAAAAABgAGAFkBAABlBQAAAAA=&#10;">
                <v:fill on="f" focussize="0,0"/>
                <v:stroke weight="5pt" color="#FF0000" linestyle="thickThin" joinstyle="round"/>
                <v:imagedata o:title=""/>
                <o:lock v:ext="edit" aspectratio="f"/>
              </v:line>
            </w:pict>
          </mc:Fallback>
        </mc:AlternateContent>
      </w:r>
      <w:bookmarkEnd w:id="0"/>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提质培优荟-催款策略与应收账款管理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培训班的通知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各</w:t>
      </w:r>
      <w:r>
        <w:rPr>
          <w:rFonts w:hint="eastAsia" w:ascii="仿宋" w:hAnsi="仿宋" w:eastAsia="仿宋" w:cs="仿宋"/>
          <w:sz w:val="32"/>
          <w:szCs w:val="32"/>
          <w:lang w:val="en-US" w:eastAsia="zh-CN"/>
        </w:rPr>
        <w:t>企业</w:t>
      </w:r>
      <w:r>
        <w:rPr>
          <w:rFonts w:hint="eastAsia" w:ascii="仿宋" w:hAnsi="仿宋" w:eastAsia="仿宋" w:cs="仿宋"/>
          <w:sz w:val="32"/>
          <w:szCs w:val="32"/>
          <w:lang w:eastAsia="zh-CN"/>
        </w:rPr>
        <w:t>单位：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响应省、市</w:t>
      </w:r>
      <w:r>
        <w:rPr>
          <w:rFonts w:hint="eastAsia" w:ascii="仿宋" w:hAnsi="仿宋" w:eastAsia="仿宋" w:cs="仿宋"/>
          <w:sz w:val="32"/>
          <w:szCs w:val="32"/>
          <w:lang w:eastAsia="zh-CN"/>
        </w:rPr>
        <w:t>高新技术企业树标提质行动计划，持续加强高新技术企业群体规模培育。推动企业提高发展速度和发展质量，壮大成为规模以上企业</w:t>
      </w:r>
      <w:r>
        <w:rPr>
          <w:rFonts w:hint="eastAsia" w:ascii="仿宋" w:hAnsi="仿宋" w:eastAsia="仿宋" w:cs="仿宋"/>
          <w:sz w:val="32"/>
          <w:szCs w:val="32"/>
          <w:lang w:val="en-US" w:eastAsia="zh-CN"/>
        </w:rPr>
        <w:t>和高新技术企业</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南海区高新技术产业协会将形成“提质培优荟”系列品牌活动，首场活动</w:t>
      </w:r>
      <w:r>
        <w:rPr>
          <w:rFonts w:hint="eastAsia" w:ascii="仿宋" w:hAnsi="仿宋" w:eastAsia="仿宋" w:cs="仿宋"/>
          <w:sz w:val="32"/>
          <w:szCs w:val="32"/>
          <w:lang w:eastAsia="zh-CN"/>
        </w:rPr>
        <w:t>协会</w:t>
      </w:r>
      <w:r>
        <w:rPr>
          <w:rFonts w:hint="eastAsia" w:ascii="仿宋" w:hAnsi="仿宋" w:eastAsia="仿宋" w:cs="仿宋"/>
          <w:sz w:val="32"/>
          <w:szCs w:val="32"/>
          <w:lang w:val="en-US" w:eastAsia="zh-CN"/>
        </w:rPr>
        <w:t>联合</w:t>
      </w:r>
      <w:r>
        <w:rPr>
          <w:rFonts w:hint="eastAsia" w:ascii="仿宋" w:hAnsi="仿宋" w:eastAsia="仿宋" w:cs="仿宋"/>
          <w:sz w:val="32"/>
          <w:szCs w:val="32"/>
          <w:lang w:eastAsia="zh-CN"/>
        </w:rPr>
        <w:t>广东歌瑞姆管理技术服务有限公司开展催款策略与应用收账款管理培训班，</w:t>
      </w:r>
      <w:r>
        <w:rPr>
          <w:rFonts w:hint="eastAsia" w:ascii="仿宋" w:hAnsi="仿宋" w:eastAsia="仿宋" w:cs="仿宋"/>
          <w:sz w:val="32"/>
          <w:szCs w:val="32"/>
          <w:lang w:val="en-US" w:eastAsia="zh-CN"/>
        </w:rPr>
        <w:t>针对企业经营中实际问题提出解决思路</w:t>
      </w:r>
      <w:r>
        <w:rPr>
          <w:rFonts w:hint="eastAsia" w:ascii="仿宋" w:hAnsi="仿宋" w:eastAsia="仿宋" w:cs="仿宋"/>
          <w:sz w:val="32"/>
          <w:szCs w:val="32"/>
          <w:lang w:eastAsia="zh-CN"/>
        </w:rPr>
        <w:t>，提高内部人员的专业收款能力，</w:t>
      </w:r>
      <w:r>
        <w:rPr>
          <w:rFonts w:hint="eastAsia" w:ascii="仿宋" w:hAnsi="仿宋" w:eastAsia="仿宋" w:cs="仿宋"/>
          <w:sz w:val="32"/>
          <w:szCs w:val="32"/>
          <w:lang w:val="en-US" w:eastAsia="zh-CN"/>
        </w:rPr>
        <w:t>助力</w:t>
      </w:r>
      <w:r>
        <w:rPr>
          <w:rFonts w:hint="eastAsia" w:ascii="仿宋" w:hAnsi="仿宋" w:eastAsia="仿宋" w:cs="仿宋"/>
          <w:sz w:val="32"/>
          <w:szCs w:val="32"/>
          <w:lang w:eastAsia="zh-CN"/>
        </w:rPr>
        <w:t>企业</w:t>
      </w:r>
      <w:r>
        <w:rPr>
          <w:rFonts w:hint="eastAsia" w:ascii="仿宋" w:hAnsi="仿宋" w:eastAsia="仿宋" w:cs="仿宋"/>
          <w:sz w:val="32"/>
          <w:szCs w:val="32"/>
          <w:lang w:val="en-US" w:eastAsia="zh-CN"/>
        </w:rPr>
        <w:t>做大做强</w:t>
      </w:r>
      <w:r>
        <w:rPr>
          <w:rFonts w:hint="eastAsia" w:ascii="仿宋" w:hAnsi="仿宋" w:eastAsia="仿宋" w:cs="仿宋"/>
          <w:sz w:val="32"/>
          <w:szCs w:val="32"/>
          <w:lang w:eastAsia="zh-CN"/>
        </w:rPr>
        <w:t>，更</w:t>
      </w:r>
      <w:r>
        <w:rPr>
          <w:rFonts w:hint="eastAsia" w:ascii="仿宋" w:hAnsi="仿宋" w:eastAsia="仿宋" w:cs="仿宋"/>
          <w:sz w:val="32"/>
          <w:szCs w:val="32"/>
          <w:lang w:val="en-US" w:eastAsia="zh-CN"/>
        </w:rPr>
        <w:t>具</w:t>
      </w:r>
      <w:r>
        <w:rPr>
          <w:rFonts w:hint="eastAsia" w:ascii="仿宋" w:hAnsi="仿宋" w:eastAsia="仿宋" w:cs="仿宋"/>
          <w:sz w:val="32"/>
          <w:szCs w:val="32"/>
          <w:lang w:eastAsia="zh-CN"/>
        </w:rPr>
        <w:t>竞争力！具体通知如下：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一、</w:t>
      </w:r>
      <w:r>
        <w:rPr>
          <w:rFonts w:hint="eastAsia" w:ascii="黑体" w:hAnsi="黑体" w:eastAsia="黑体" w:cs="黑体"/>
          <w:sz w:val="32"/>
          <w:szCs w:val="32"/>
          <w:lang w:val="en-US" w:eastAsia="zh-CN"/>
        </w:rPr>
        <w:t>举办</w:t>
      </w:r>
      <w:r>
        <w:rPr>
          <w:rFonts w:hint="eastAsia" w:ascii="黑体" w:hAnsi="黑体" w:eastAsia="黑体" w:cs="黑体"/>
          <w:sz w:val="32"/>
          <w:szCs w:val="32"/>
          <w:lang w:eastAsia="zh-CN"/>
        </w:rPr>
        <w:t>单位：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指导单位：佛山高新区经济发展和科技局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主办单位：佛山市南海区高新技术产业协会</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承办单位：</w:t>
      </w:r>
      <w:r>
        <w:rPr>
          <w:rFonts w:hint="eastAsia" w:ascii="仿宋" w:hAnsi="仿宋" w:eastAsia="仿宋" w:cs="仿宋"/>
          <w:sz w:val="32"/>
          <w:szCs w:val="32"/>
          <w:lang w:eastAsia="zh-CN"/>
        </w:rPr>
        <w:t>广东歌瑞姆管理技术服务有限公司</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2240" w:firstLineChars="7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力合（佛山）科技园</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二、培训时间：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2019年1月4日（星期五）09:00-17:00（08:30签到）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温馨提醒：课程共一天时间（含午餐）</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三、培训地点：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佛山力合科技园10栋4楼(南商学院)</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 w:hAnsi="仿宋" w:eastAsia="仿宋" w:cs="仿宋"/>
          <w:sz w:val="32"/>
          <w:szCs w:val="32"/>
          <w:lang w:eastAsia="zh-CN"/>
        </w:rPr>
      </w:pPr>
      <w:r>
        <w:rPr>
          <w:rFonts w:hint="eastAsia" w:ascii="黑体" w:hAnsi="黑体" w:eastAsia="黑体" w:cs="黑体"/>
          <w:sz w:val="32"/>
          <w:szCs w:val="32"/>
          <w:lang w:eastAsia="zh-CN"/>
        </w:rPr>
        <w:t>四、培训内容：</w:t>
      </w:r>
    </w:p>
    <w:tbl>
      <w:tblPr>
        <w:tblStyle w:val="4"/>
        <w:tblW w:w="936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69"/>
        <w:gridCol w:w="55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94" w:hRule="atLeast"/>
          <w:jc w:val="center"/>
        </w:trPr>
        <w:tc>
          <w:tcPr>
            <w:tcW w:w="9366" w:type="dxa"/>
            <w:gridSpan w:val="2"/>
            <w:vAlign w:val="center"/>
          </w:tcPr>
          <w:p>
            <w:pPr>
              <w:pStyle w:val="5"/>
              <w:keepNext w:val="0"/>
              <w:keepLines w:val="0"/>
              <w:pageBreakBefore w:val="0"/>
              <w:widowControl w:val="0"/>
              <w:kinsoku/>
              <w:wordWrap/>
              <w:overflowPunct/>
              <w:topLinePunct w:val="0"/>
              <w:autoSpaceDE/>
              <w:autoSpaceDN/>
              <w:bidi w:val="0"/>
              <w:adjustRightInd/>
              <w:snapToGrid/>
              <w:spacing w:line="560" w:lineRule="exact"/>
              <w:ind w:left="4052" w:right="4043"/>
              <w:jc w:val="center"/>
              <w:textAlignment w:val="auto"/>
              <w:outlineLvl w:val="9"/>
              <w:rPr>
                <w:rFonts w:hint="eastAsia" w:ascii="仿宋" w:hAnsi="仿宋" w:eastAsia="仿宋" w:cs="仿宋"/>
                <w:b/>
                <w:w w:val="95"/>
                <w:sz w:val="32"/>
                <w:szCs w:val="32"/>
                <w:lang w:val="en-US" w:eastAsia="zh-CN"/>
              </w:rPr>
            </w:pPr>
            <w:r>
              <w:rPr>
                <w:rFonts w:hint="eastAsia" w:ascii="仿宋" w:hAnsi="仿宋" w:eastAsia="仿宋" w:cs="仿宋"/>
                <w:b/>
                <w:w w:val="95"/>
                <w:sz w:val="32"/>
                <w:szCs w:val="32"/>
              </w:rPr>
              <w:t>课程</w:t>
            </w:r>
            <w:r>
              <w:rPr>
                <w:rFonts w:hint="eastAsia" w:ascii="仿宋" w:hAnsi="仿宋" w:eastAsia="仿宋" w:cs="仿宋"/>
                <w:b/>
                <w:w w:val="95"/>
                <w:sz w:val="32"/>
                <w:szCs w:val="32"/>
                <w:lang w:val="en-US" w:eastAsia="zh-CN"/>
              </w:rPr>
              <w:t>大纲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4" w:hRule="atLeast"/>
          <w:jc w:val="center"/>
        </w:trPr>
        <w:tc>
          <w:tcPr>
            <w:tcW w:w="3769" w:type="dxa"/>
            <w:tcBorders>
              <w:right w:val="single" w:color="auto" w:sz="4" w:space="0"/>
            </w:tcBorders>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val="en-US" w:eastAsia="zh-CN"/>
              </w:rPr>
              <w:t>一</w:t>
            </w:r>
            <w:r>
              <w:rPr>
                <w:rFonts w:hint="eastAsia" w:ascii="仿宋" w:hAnsi="仿宋" w:eastAsia="仿宋" w:cs="仿宋"/>
                <w:sz w:val="32"/>
                <w:szCs w:val="32"/>
              </w:rPr>
              <w:t>讲：</w:t>
            </w:r>
          </w:p>
        </w:tc>
        <w:tc>
          <w:tcPr>
            <w:tcW w:w="5597" w:type="dxa"/>
            <w:tcBorders>
              <w:left w:val="single" w:color="auto" w:sz="4" w:space="0"/>
            </w:tcBorders>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销售，</w:t>
            </w:r>
            <w:r>
              <w:rPr>
                <w:rFonts w:hint="eastAsia" w:ascii="仿宋" w:hAnsi="仿宋" w:eastAsia="仿宋" w:cs="仿宋"/>
                <w:sz w:val="32"/>
                <w:szCs w:val="32"/>
                <w:lang w:eastAsia="zh-CN"/>
              </w:rPr>
              <w:t>收款</w:t>
            </w:r>
            <w:r>
              <w:rPr>
                <w:rFonts w:hint="eastAsia" w:ascii="仿宋" w:hAnsi="仿宋" w:eastAsia="仿宋" w:cs="仿宋"/>
                <w:sz w:val="32"/>
                <w:szCs w:val="32"/>
              </w:rPr>
              <w:t>才是硬道理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 w:hRule="atLeast"/>
          <w:jc w:val="center"/>
        </w:trPr>
        <w:tc>
          <w:tcPr>
            <w:tcW w:w="3769"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第</w:t>
            </w:r>
            <w:r>
              <w:rPr>
                <w:rFonts w:hint="eastAsia" w:ascii="仿宋" w:hAnsi="仿宋" w:eastAsia="仿宋" w:cs="仿宋"/>
                <w:sz w:val="32"/>
                <w:szCs w:val="32"/>
                <w:lang w:val="en-US" w:eastAsia="zh-CN"/>
              </w:rPr>
              <w:t>二</w:t>
            </w:r>
            <w:r>
              <w:rPr>
                <w:rFonts w:hint="eastAsia" w:ascii="仿宋" w:hAnsi="仿宋" w:eastAsia="仿宋" w:cs="仿宋"/>
                <w:sz w:val="32"/>
                <w:szCs w:val="32"/>
              </w:rPr>
              <w:t>讲：</w:t>
            </w:r>
          </w:p>
        </w:tc>
        <w:tc>
          <w:tcPr>
            <w:tcW w:w="5597"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收款</w:t>
            </w:r>
            <w:r>
              <w:rPr>
                <w:rFonts w:hint="eastAsia" w:ascii="仿宋" w:hAnsi="仿宋" w:eastAsia="仿宋" w:cs="仿宋"/>
                <w:sz w:val="32"/>
                <w:szCs w:val="32"/>
              </w:rPr>
              <w:t>为什么就这么难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 w:hRule="atLeast"/>
          <w:jc w:val="center"/>
        </w:trPr>
        <w:tc>
          <w:tcPr>
            <w:tcW w:w="3769"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ind w:right="33"/>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第三讲：</w:t>
            </w:r>
          </w:p>
        </w:tc>
        <w:tc>
          <w:tcPr>
            <w:tcW w:w="5597"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未雨绸缪，“铺平”催收前的路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 w:hRule="atLeast"/>
          <w:jc w:val="center"/>
        </w:trPr>
        <w:tc>
          <w:tcPr>
            <w:tcW w:w="3769"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第四讲：</w:t>
            </w:r>
          </w:p>
        </w:tc>
        <w:tc>
          <w:tcPr>
            <w:tcW w:w="5597"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应收账款管理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 w:hRule="atLeast"/>
          <w:jc w:val="center"/>
        </w:trPr>
        <w:tc>
          <w:tcPr>
            <w:tcW w:w="3769"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第五讲：</w:t>
            </w:r>
          </w:p>
        </w:tc>
        <w:tc>
          <w:tcPr>
            <w:tcW w:w="5597"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常规手段也可以轻松收款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 w:hRule="atLeast"/>
          <w:jc w:val="center"/>
        </w:trPr>
        <w:tc>
          <w:tcPr>
            <w:tcW w:w="3769"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第六讲：</w:t>
            </w:r>
          </w:p>
        </w:tc>
        <w:tc>
          <w:tcPr>
            <w:tcW w:w="5597" w:type="dxa"/>
            <w:vAlign w:val="center"/>
          </w:tcPr>
          <w:p>
            <w:pPr>
              <w:pStyle w:val="5"/>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互动交流</w:t>
            </w:r>
          </w:p>
        </w:tc>
      </w:tr>
    </w:tbl>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五、讲师介绍：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720" w:firstLineChars="200"/>
        <w:jc w:val="left"/>
        <w:textAlignment w:val="auto"/>
        <w:outlineLvl w:val="9"/>
        <w:rPr>
          <w:rFonts w:hint="eastAsia" w:ascii="仿宋" w:hAnsi="仿宋" w:eastAsia="仿宋" w:cs="仿宋"/>
          <w:sz w:val="32"/>
          <w:szCs w:val="32"/>
          <w:lang w:val="en-US" w:eastAsia="zh-CN"/>
        </w:rPr>
      </w:pPr>
      <w:r>
        <w:rPr>
          <w:rFonts w:hint="eastAsia" w:ascii="楷体" w:hAnsi="楷体" w:eastAsia="楷体" w:cs="楷体"/>
          <w:b w:val="0"/>
          <w:bCs w:val="0"/>
          <w:sz w:val="36"/>
          <w:szCs w:val="36"/>
          <w:lang w:val="en-US" w:eastAsia="zh-CN"/>
        </w:rPr>
        <w:t xml:space="preserve">后小进 老师 </w:t>
      </w:r>
      <w:r>
        <w:rPr>
          <w:rFonts w:hint="eastAsia" w:ascii="仿宋" w:hAnsi="仿宋" w:eastAsia="仿宋" w:cs="仿宋"/>
          <w:sz w:val="32"/>
          <w:szCs w:val="32"/>
          <w:lang w:eastAsia="zh-CN"/>
        </w:rPr>
        <w:t>广东歌瑞姆管理机构创办人、董事长。首席顾问师、高级培训讲师、深圳市“十大金牌顾问”、广东人民广播电台“教育之声”常年特邀嘉宾，佛山市企业管理咨询协会会长、多家商协会、民营企业特邀常年管理顾问、佛山市工商联“第十四届执委会”，</w:t>
      </w:r>
      <w:r>
        <w:rPr>
          <w:rFonts w:hint="eastAsia" w:ascii="仿宋" w:hAnsi="仿宋" w:eastAsia="仿宋" w:cs="仿宋"/>
          <w:sz w:val="32"/>
          <w:szCs w:val="32"/>
          <w:lang w:val="en-US" w:eastAsia="zh-CN"/>
        </w:rPr>
        <w:t>20年以来，辅导企业超100家，培训学员超80000人。</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六、培训对象：</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企业负责人、财务负责人或销售负责人共2人</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七、培训费用：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协会会员企业代表免费，非会员企业300元/2人</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八、报名方式：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请有意向的企业于1月3日下午12:00前登录协会官方网站http://www.nhhtia.com浏览活动通知并点击“马上报名”填写参加人员信息或将报名回执发到指定邮箱：nhqgxjscyxh@163.com,联系人：孙锐成 0757-86683862。</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righ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佛山市南海区高新技术产业协会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2018年12月28日</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提质培优荟-催款策略与应收账款管理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eastAsia="zh-CN"/>
        </w:rPr>
        <w:t>培训班</w:t>
      </w:r>
      <w:r>
        <w:rPr>
          <w:rFonts w:hint="eastAsia" w:ascii="方正小标宋简体" w:hAnsi="方正小标宋简体" w:eastAsia="方正小标宋简体" w:cs="方正小标宋简体"/>
          <w:sz w:val="36"/>
          <w:szCs w:val="36"/>
          <w:lang w:val="en-US" w:eastAsia="zh-CN"/>
        </w:rPr>
        <w:t>报名回执</w:t>
      </w:r>
    </w:p>
    <w:tbl>
      <w:tblPr>
        <w:tblStyle w:val="4"/>
        <w:tblW w:w="94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2"/>
        <w:gridCol w:w="1951"/>
        <w:gridCol w:w="2292"/>
        <w:gridCol w:w="3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9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eastAsia="仿宋"/>
                <w:sz w:val="32"/>
                <w:szCs w:val="32"/>
              </w:rPr>
            </w:pPr>
            <w:r>
              <w:rPr>
                <w:rFonts w:hAnsi="仿宋" w:eastAsia="仿宋"/>
                <w:sz w:val="32"/>
                <w:szCs w:val="32"/>
              </w:rPr>
              <w:t>参会单位</w:t>
            </w:r>
          </w:p>
        </w:tc>
        <w:tc>
          <w:tcPr>
            <w:tcW w:w="7483"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9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eastAsia="仿宋"/>
                <w:sz w:val="32"/>
                <w:szCs w:val="32"/>
              </w:rPr>
            </w:pPr>
            <w:r>
              <w:rPr>
                <w:rFonts w:hAnsi="仿宋" w:eastAsia="仿宋"/>
                <w:sz w:val="32"/>
                <w:szCs w:val="32"/>
              </w:rPr>
              <w:t>人员姓名</w:t>
            </w:r>
          </w:p>
        </w:tc>
        <w:tc>
          <w:tcPr>
            <w:tcW w:w="195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eastAsia="仿宋"/>
                <w:sz w:val="32"/>
                <w:szCs w:val="32"/>
              </w:rPr>
            </w:pPr>
            <w:r>
              <w:rPr>
                <w:rFonts w:hAnsi="仿宋" w:eastAsia="仿宋"/>
                <w:sz w:val="32"/>
                <w:szCs w:val="32"/>
              </w:rPr>
              <w:t>职务</w:t>
            </w:r>
          </w:p>
        </w:tc>
        <w:tc>
          <w:tcPr>
            <w:tcW w:w="22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eastAsia="仿宋"/>
                <w:sz w:val="32"/>
                <w:szCs w:val="32"/>
              </w:rPr>
            </w:pPr>
            <w:r>
              <w:rPr>
                <w:rFonts w:hAnsi="仿宋" w:eastAsia="仿宋"/>
                <w:sz w:val="32"/>
                <w:szCs w:val="32"/>
              </w:rPr>
              <w:t>联系方式</w:t>
            </w:r>
          </w:p>
        </w:tc>
        <w:tc>
          <w:tcPr>
            <w:tcW w:w="32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eastAsia="仿宋"/>
                <w:sz w:val="32"/>
                <w:szCs w:val="32"/>
                <w:lang w:eastAsia="zh-CN"/>
              </w:rPr>
            </w:pPr>
            <w:r>
              <w:rPr>
                <w:rFonts w:hint="eastAsia" w:eastAsia="仿宋"/>
                <w:sz w:val="32"/>
                <w:szCs w:val="32"/>
                <w:lang w:eastAsia="zh-CN"/>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9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195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22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32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9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195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22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c>
          <w:tcPr>
            <w:tcW w:w="32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sz w:val="28"/>
                <w:szCs w:val="28"/>
              </w:rPr>
            </w:pP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jc w:val="left"/>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注：今次培训班人数限制在80人，请有意向的企业从速报名，于1月3日下午12:00前登录协会官方网站http://www.nhhtia.com浏览活动通知并点击“马上报名”填写参加人员信息或发送《报名回执》至nhqgxjscyxh@163.com，或直接致电协会秘书处报名，联系人：孙先生，联系电话：0757-86683862。</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lang w:val="en-US" w:eastAsia="zh-CN"/>
        </w:rPr>
      </w:pPr>
    </w:p>
    <w:sectPr>
      <w:pgSz w:w="11906" w:h="16838"/>
      <w:pgMar w:top="2098" w:right="1587" w:bottom="2098" w:left="1587" w:header="851" w:footer="992" w:gutter="0"/>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8"/>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426E90"/>
    <w:rsid w:val="0DF851C7"/>
    <w:rsid w:val="225B1507"/>
    <w:rsid w:val="25B565F4"/>
    <w:rsid w:val="60426E90"/>
    <w:rsid w:val="673C7489"/>
    <w:rsid w:val="6C803811"/>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character" w:styleId="3">
    <w:name w:val="Strong"/>
    <w:basedOn w:val="2"/>
    <w:qFormat/>
    <w:uiPriority w:val="0"/>
    <w:rPr>
      <w:b/>
    </w:rPr>
  </w:style>
  <w:style w:type="paragraph" w:customStyle="1" w:styleId="5">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南海高新技术产业开发区管委会</Company>
  <Pages>1</Pages>
  <Words>0</Words>
  <Characters>0</Characters>
  <Lines>0</Lines>
  <Paragraphs>0</Paragraphs>
  <TotalTime>0</TotalTime>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2018-12-28T03:46:00Z</dcterms:created>
  <dc:creator>Administrator</dc:creator>
  <cp:lastModifiedBy>Administrator</cp:lastModifiedBy>
  <dcterms:modified xsi:type="dcterms:W3CDTF">2018-12-29T03:54:54Z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