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佛山高新区单打冠军企业</w:t>
      </w: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sz w:val="52"/>
          <w:szCs w:val="52"/>
        </w:rPr>
      </w:pPr>
    </w:p>
    <w:p>
      <w:pPr>
        <w:snapToGrid w:val="0"/>
        <w:jc w:val="center"/>
        <w:rPr>
          <w:rFonts w:ascii="方正小标宋简体" w:hAnsi="方正小标宋简体" w:eastAsia="方正小标宋简体" w:cs="方正小标宋简体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sz w:val="72"/>
          <w:szCs w:val="72"/>
        </w:rPr>
        <w:t>培育发展方案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tabs>
          <w:tab w:val="left" w:pos="8100"/>
        </w:tabs>
        <w:spacing w:line="720" w:lineRule="auto"/>
        <w:rPr>
          <w:rFonts w:eastAsia="仿宋_GB2312"/>
          <w:sz w:val="30"/>
          <w:u w:val="single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企业名称（盖章）</w:t>
      </w:r>
      <w:r>
        <w:rPr>
          <w:rFonts w:eastAsia="仿宋_GB2312"/>
          <w:sz w:val="30"/>
          <w:u w:val="single"/>
        </w:rPr>
        <w:t xml:space="preserve">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</w:t>
      </w:r>
      <w:r>
        <w:rPr>
          <w:rFonts w:hint="eastAsia" w:eastAsia="仿宋_GB2312"/>
          <w:sz w:val="30"/>
          <w:u w:val="single"/>
        </w:rPr>
        <w:t xml:space="preserve">  </w:t>
      </w:r>
      <w:r>
        <w:rPr>
          <w:rFonts w:eastAsia="仿宋_GB2312"/>
          <w:sz w:val="30"/>
          <w:u w:val="single"/>
        </w:rPr>
        <w:t xml:space="preserve">  </w:t>
      </w:r>
      <w:r>
        <w:rPr>
          <w:rFonts w:hint="eastAsia" w:eastAsia="仿宋_GB2312"/>
          <w:sz w:val="30"/>
          <w:u w:val="single"/>
        </w:rPr>
        <w:t xml:space="preserve"> </w:t>
      </w:r>
      <w:r>
        <w:rPr>
          <w:rFonts w:eastAsia="仿宋_GB2312"/>
          <w:sz w:val="30"/>
          <w:u w:val="single"/>
        </w:rPr>
        <w:t xml:space="preserve"> </w:t>
      </w:r>
      <w:r>
        <w:rPr>
          <w:rFonts w:hint="eastAsia" w:eastAsia="仿宋_GB2312"/>
          <w:sz w:val="30"/>
          <w:u w:val="single"/>
        </w:rPr>
        <w:t xml:space="preserve">   </w:t>
      </w:r>
      <w:r>
        <w:rPr>
          <w:rFonts w:eastAsia="仿宋_GB2312"/>
          <w:sz w:val="30"/>
          <w:u w:val="single"/>
        </w:rPr>
        <w:t xml:space="preserve">  </w:t>
      </w:r>
      <w:r>
        <w:rPr>
          <w:rFonts w:hint="eastAsia" w:eastAsia="仿宋_GB2312"/>
          <w:sz w:val="30"/>
          <w:u w:val="single"/>
        </w:rPr>
        <w:t xml:space="preserve">  </w:t>
      </w:r>
      <w:r>
        <w:rPr>
          <w:rFonts w:eastAsia="仿宋_GB2312"/>
          <w:sz w:val="30"/>
          <w:u w:val="single"/>
        </w:rPr>
        <w:t xml:space="preserve">    </w:t>
      </w:r>
    </w:p>
    <w:p>
      <w:pPr>
        <w:tabs>
          <w:tab w:val="left" w:pos="8100"/>
        </w:tabs>
        <w:spacing w:line="720" w:lineRule="auto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编制时间        </w:t>
      </w:r>
      <w:r>
        <w:rPr>
          <w:rFonts w:eastAsia="仿宋_GB2312"/>
          <w:sz w:val="30"/>
          <w:szCs w:val="30"/>
          <w:u w:val="single"/>
        </w:rPr>
        <w:t xml:space="preserve"> </w:t>
      </w:r>
      <w:r>
        <w:rPr>
          <w:rFonts w:hint="eastAsia" w:eastAsia="仿宋_GB2312"/>
          <w:sz w:val="30"/>
          <w:szCs w:val="30"/>
          <w:u w:val="single"/>
        </w:rPr>
        <w:t xml:space="preserve">                                     </w:t>
      </w:r>
      <w:r>
        <w:rPr>
          <w:rFonts w:hint="eastAsia" w:ascii="楷体_GB2312" w:hAnsi="楷体_GB2312" w:eastAsia="楷体_GB2312" w:cs="楷体_GB2312"/>
          <w:sz w:val="30"/>
          <w:szCs w:val="30"/>
          <w:u w:val="single"/>
        </w:rPr>
        <w:t xml:space="preserve"> </w:t>
      </w:r>
    </w:p>
    <w:p>
      <w:pPr>
        <w:spacing w:line="712" w:lineRule="exact"/>
        <w:rPr>
          <w:rFonts w:eastAsia="仿宋_GB2312"/>
          <w:sz w:val="30"/>
          <w:u w:val="single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360" w:lineRule="auto"/>
        <w:jc w:val="center"/>
        <w:rPr>
          <w:rFonts w:ascii="宋体" w:hAnsi="宋体"/>
          <w:b/>
          <w:sz w:val="44"/>
          <w:szCs w:val="44"/>
        </w:rPr>
      </w:pPr>
    </w:p>
    <w:p>
      <w:pPr>
        <w:spacing w:line="360" w:lineRule="auto"/>
        <w:jc w:val="center"/>
        <w:rPr>
          <w:rFonts w:ascii="宋体" w:hAnsi="宋体"/>
          <w:b/>
          <w:sz w:val="44"/>
          <w:szCs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 w:chapStyle="1"/>
          <w:cols w:space="720" w:num="1"/>
          <w:docGrid w:type="lines" w:linePitch="312" w:charSpace="0"/>
        </w:sectPr>
      </w:pPr>
    </w:p>
    <w:p>
      <w:pPr>
        <w:spacing w:line="360" w:lineRule="auto"/>
        <w:jc w:val="center"/>
        <w:rPr>
          <w:rFonts w:ascii="宋体" w:hAnsi="宋体"/>
          <w:b/>
          <w:sz w:val="44"/>
          <w:szCs w:val="44"/>
        </w:rPr>
      </w:pPr>
    </w:p>
    <w:p>
      <w:pPr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编制说明</w:t>
      </w:r>
    </w:p>
    <w:p>
      <w:pPr>
        <w:spacing w:line="360" w:lineRule="auto"/>
        <w:ind w:firstLine="720" w:firstLineChars="225"/>
        <w:rPr>
          <w:rFonts w:ascii="仿宋_GB2312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申请单打冠军企业的，应编制单打冠军企业培育发展方案，填报内容应涵盖但不限于方案编制提纲中的内容。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</w:t>
      </w:r>
      <w:r>
        <w:rPr>
          <w:rFonts w:hint="eastAsia" w:ascii="仿宋" w:hAnsi="仿宋" w:eastAsia="仿宋" w:cs="仿宋"/>
          <w:sz w:val="32"/>
          <w:szCs w:val="32"/>
        </w:rPr>
        <w:t>申请企业应根据实际情况科学合理制定目标任务和计划，措施得当，切实可行，避免目标任务定的过高过空。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已制定未来3-5年发展战略规划的申请企业，可将有关材料一并附上，电子版的材料自行扫描附上。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numberInDash" w:chapStyle="1"/>
          <w:cols w:space="720" w:num="1"/>
          <w:docGrid w:type="lines" w:linePitch="312" w:charSpace="0"/>
        </w:sectPr>
      </w:pPr>
      <w:r>
        <w:rPr>
          <w:rFonts w:hint="eastAsia" w:ascii="黑体" w:hAnsi="黑体" w:eastAsia="黑体" w:cs="黑体"/>
          <w:sz w:val="32"/>
          <w:szCs w:val="32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所有材料均为电子版的材料，请自行扫描上传至佛山高新区单打冠军企业申报平台。</w:t>
      </w:r>
    </w:p>
    <w:p>
      <w:pPr>
        <w:rPr>
          <w:rFonts w:ascii="黑体" w:hAnsi="黑体" w:eastAsia="黑体"/>
          <w:sz w:val="44"/>
          <w:szCs w:val="44"/>
        </w:rPr>
      </w:pPr>
    </w:p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单打冠军企业培育发展方案</w:t>
      </w:r>
    </w:p>
    <w:p>
      <w:pPr>
        <w:jc w:val="center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（编制提纲）</w:t>
      </w:r>
    </w:p>
    <w:p>
      <w:pPr>
        <w:jc w:val="center"/>
        <w:rPr>
          <w:rFonts w:ascii="黑体" w:hAnsi="黑体" w:eastAsia="黑体"/>
          <w:sz w:val="32"/>
          <w:szCs w:val="32"/>
        </w:rPr>
      </w:pP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一、目标任务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仿宋"/>
          <w:sz w:val="32"/>
          <w:szCs w:val="32"/>
        </w:rPr>
        <w:t>企业未来3-5年发展的战略思路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仿宋"/>
          <w:sz w:val="32"/>
          <w:szCs w:val="32"/>
        </w:rPr>
        <w:t>总体目标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企业总体目标应包括经营目标，如主营业务收入、利润总额、企业主营业务收入及利润年平均增长率等方面目标；细分领域主营产品发展目标，如产品市场占有率及排名、主营产品出口额占主营业务收入的比重、产品质量目标、产品关键性能指标水平、产品能耗目标等方面目标；企业创新能力提升目标，如开发新产品数量、企业掌握的关键生产技术和工艺的水平、拥有核心自主知识产权数量、研发投入等方面目标，目标应可量化可考核）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（三）</w:t>
      </w:r>
      <w:r>
        <w:rPr>
          <w:rFonts w:hint="eastAsia" w:ascii="仿宋" w:hAnsi="仿宋" w:eastAsia="仿宋" w:cs="仿宋"/>
          <w:sz w:val="32"/>
          <w:szCs w:val="32"/>
        </w:rPr>
        <w:t>工作任务及时间进度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企业根据战略思路和总体目标，分析现状与目标间的差距，提出切实可行的工作任务，每项任务应有相应的时间节点，任务可包括强化单打冠军发展战略、提高创新能力、提高产品质量、培育国际品牌、完善经营管理制度等内容）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二、具体计划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（结合目标任务，提出详细工作计划、步骤及路径等，如企业完成目标任务必须实施的项目计划，投融资计划，人才培养计划，海外扩张并购计划，产学研项目合作计划，创新激励机制建设等）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三、措施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（申请企业要围绕目标任务和具体计划安排，提出有针对性的保障措施，主要包括组织实施、资金投入、人力资源、评价考核等方面的保障措施）</w:t>
      </w:r>
    </w:p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>
      <w:pPr>
        <w:rPr>
          <w:rFonts w:ascii="黑体" w:hAnsi="黑体" w:eastAsia="黑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gNumType w:fmt="numberInDash" w:chapStyle="1"/>
          <w:cols w:space="720" w:num="1"/>
          <w:docGrid w:type="lines" w:linePitch="312" w:charSpace="0"/>
        </w:sect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微软雅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微软雅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7155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CTQYRcVAgAAFwQAAA4AAAAAAAAA&#10;AQAgAAAAHwEAAGRycy9lMm9Eb2MueG1sUEsFBgAAAAAGAAYAWQEAAKYFAAAAAA==&#10;">
              <v:path/>
              <v:fill on="f" focussize="0,0"/>
              <v:stroke on="f" weight="0.5pt"/>
              <v:imagedata o:title=""/>
              <o:lock v:ext="edit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052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Gdu&#10;iyy2AQAAWAMAAA4AAAAAAAAAAQAgAAAAHgEAAGRycy9lMm9Eb2MueG1sUEsFBgAAAAAGAAYAWQEA&#10;AE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950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MdG&#10;Rwu2AQAAWAMAAA4AAAAAAAAAAQAgAAAAHgEAAGRycy9lMm9Eb2MueG1sUEsFBgAAAAAGAAYAWQEA&#10;AE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16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EZ4&#10;d3+2AQAAVgMAAA4AAAAAAAAAAQAgAAAAHgEAAGRycy9lMm9Eb2MueG1sUEsFBgAAAAAGAAYAWQEA&#10;AE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16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DOqXm5zwAA&#10;AAUBAAAPAAAAAAAAAAEAIAAAACIAAABkcnMvZG93bnJldi54bWxQSwECFAAUAAAACACHTuJAyPUY&#10;DLUBAABWAwAADgAAAAAAAAABACAAAAAeAQAAZHJzL2Uyb0RvYy54bWxQSwUGAAAAAAYABgBZAQAA&#10;RQUAAAAA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F91CE0"/>
    <w:rsid w:val="0EF91CE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黑体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2019-08-01T09:42:00Z</dcterms:created>
  <dc:creator>Administrator</dc:creator>
  <cp:lastModifiedBy>Administrator</cp:lastModifiedBy>
  <dcterms:modified xsi:type="dcterms:W3CDTF">2019-08-01T09:42:49Z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